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55FFC" w14:textId="1CE5D313" w:rsidR="001F4EA1" w:rsidRDefault="00461172">
      <w:r>
        <w:t>Dear All,</w:t>
      </w:r>
    </w:p>
    <w:p w14:paraId="0864062E" w14:textId="1235032B" w:rsidR="00461172" w:rsidRDefault="00461172">
      <w:r>
        <w:t>Thank you for your feedback regarding our global SAA / CMA universe.</w:t>
      </w:r>
    </w:p>
    <w:p w14:paraId="784D2F3A" w14:textId="5926C782" w:rsidR="00461172" w:rsidRDefault="00461172">
      <w:r>
        <w:t xml:space="preserve">I received and incorporated the feedback from UK and APAC. Since I did not hear from Gerald and Philipp, I use the SAA allocation for Europe 4 existing mandates </w:t>
      </w:r>
      <w:r w:rsidR="000C217A">
        <w:t>(</w:t>
      </w:r>
      <w:r w:rsidR="000C217A" w:rsidRPr="000C217A">
        <w:t>EU (Classic EX)</w:t>
      </w:r>
      <w:r w:rsidR="000C217A">
        <w:t xml:space="preserve">, </w:t>
      </w:r>
      <w:r w:rsidR="000C217A" w:rsidRPr="000C217A">
        <w:t>EU (Classic AI)</w:t>
      </w:r>
      <w:r w:rsidR="000C217A">
        <w:t xml:space="preserve">, </w:t>
      </w:r>
      <w:r w:rsidR="000C217A" w:rsidRPr="000C217A">
        <w:t>Eu CH (Domestic)</w:t>
      </w:r>
      <w:r w:rsidR="000C217A" w:rsidRPr="000C217A">
        <w:tab/>
      </w:r>
      <w:r w:rsidR="000C217A">
        <w:t xml:space="preserve">, </w:t>
      </w:r>
      <w:r w:rsidR="000C217A" w:rsidRPr="000C217A">
        <w:t>EU Adv (Unconstrained)</w:t>
      </w:r>
      <w:r w:rsidR="000C217A">
        <w:t>)</w:t>
      </w:r>
      <w:r>
        <w:t xml:space="preserve"> </w:t>
      </w:r>
      <w:r w:rsidR="000C217A">
        <w:t>that I got from Jakub.</w:t>
      </w:r>
    </w:p>
    <w:p w14:paraId="6A90DEDD" w14:textId="5599F6E3" w:rsidR="00461172" w:rsidRDefault="000C217A">
      <w:r>
        <w:t xml:space="preserve">We now have </w:t>
      </w:r>
      <w:r w:rsidR="00461172">
        <w:t>38 asset</w:t>
      </w:r>
      <w:r>
        <w:t xml:space="preserve"> </w:t>
      </w:r>
      <w:proofErr w:type="gramStart"/>
      <w:r>
        <w:t>classes</w:t>
      </w:r>
      <w:proofErr w:type="gramEnd"/>
      <w:r>
        <w:t xml:space="preserve"> and we could further drop a few ones as discussed and proposed below.</w:t>
      </w:r>
    </w:p>
    <w:p w14:paraId="079813D2" w14:textId="616768DC" w:rsidR="00E66C16" w:rsidRDefault="000C217A">
      <w:r>
        <w:t>Note that I added cash accounts for Global SAA universe for allocation to Liquidity asset class.</w:t>
      </w:r>
    </w:p>
    <w:p w14:paraId="2D3BC72E" w14:textId="77777777" w:rsidR="00E66C16" w:rsidRDefault="00E66C16" w:rsidP="00E66C16">
      <w:r>
        <w:t>In the attached spreadsheet you will find the updated global universe.</w:t>
      </w:r>
    </w:p>
    <w:p w14:paraId="695508F3" w14:textId="77777777" w:rsidR="00E66C16" w:rsidRDefault="00E66C16" w:rsidP="00E66C16">
      <w:r>
        <w:t>Please double-check your regional SAA universes.</w:t>
      </w:r>
    </w:p>
    <w:p w14:paraId="7E4538ED" w14:textId="1B931C69" w:rsidR="00E66C16" w:rsidRDefault="00E66C16" w:rsidP="00E66C16">
      <w:r>
        <w:t>Below I address Rohit</w:t>
      </w:r>
      <w:r>
        <w:t>’</w:t>
      </w:r>
      <w:r>
        <w:t>s and Ivan</w:t>
      </w:r>
      <w:r>
        <w:t>’</w:t>
      </w:r>
      <w:r>
        <w:t>s suggestions and make a few proposals. Please review and come back with comments by 20</w:t>
      </w:r>
      <w:r w:rsidRPr="000C217A">
        <w:rPr>
          <w:vertAlign w:val="superscript"/>
        </w:rPr>
        <w:t>th</w:t>
      </w:r>
      <w:r>
        <w:t xml:space="preserve"> October.</w:t>
      </w:r>
      <w:r>
        <w:t xml:space="preserve"> Open questions marked with </w:t>
      </w:r>
      <w:r>
        <w:t>“</w:t>
      </w:r>
      <w:r w:rsidRPr="00E853E0">
        <w:rPr>
          <w:b/>
          <w:bCs/>
        </w:rPr>
        <w:t>To be decided</w:t>
      </w:r>
      <w:r>
        <w:t>”</w:t>
      </w:r>
      <w:r>
        <w:t xml:space="preserve"> will be discussed </w:t>
      </w:r>
      <w:r w:rsidR="00F53227">
        <w:t>and decided at</w:t>
      </w:r>
      <w:r>
        <w:t xml:space="preserve"> the next</w:t>
      </w:r>
      <w:r>
        <w:t xml:space="preserve"> the ISQ steering committee meeting</w:t>
      </w:r>
      <w:r>
        <w:t>. Please provide your inputs beforehand.</w:t>
      </w:r>
    </w:p>
    <w:p w14:paraId="40A5D675" w14:textId="77777777" w:rsidR="00E66C16" w:rsidRDefault="00E66C16" w:rsidP="00E66C16">
      <w:r>
        <w:t>We will have the ISQ steering committee meeting on the week of 20</w:t>
      </w:r>
      <w:r w:rsidRPr="000C217A">
        <w:rPr>
          <w:vertAlign w:val="superscript"/>
        </w:rPr>
        <w:t>th</w:t>
      </w:r>
      <w:r>
        <w:t xml:space="preserve"> so we can harmonise and finalise SAA Universes and the constituent asset classes of SAA / CMA global universe.</w:t>
      </w:r>
    </w:p>
    <w:p w14:paraId="352111CF" w14:textId="77777777" w:rsidR="00E66C16" w:rsidRDefault="00E66C16" w:rsidP="00E66C16">
      <w:r>
        <w:t>After this, as the next steps and ISQ meeting in the end of November we will consider:</w:t>
      </w:r>
    </w:p>
    <w:p w14:paraId="50B4FABB" w14:textId="77777777" w:rsidR="00E66C16" w:rsidRDefault="00E66C16" w:rsidP="00E66C16">
      <w:pPr>
        <w:pStyle w:val="ListParagraph"/>
        <w:numPr>
          <w:ilvl w:val="0"/>
          <w:numId w:val="3"/>
        </w:numPr>
      </w:pPr>
      <w:r>
        <w:t xml:space="preserve">Defining regional range mandates with respective Level0 and Level1/2 allocation ranges </w:t>
      </w:r>
    </w:p>
    <w:p w14:paraId="4A03AB2E" w14:textId="77777777" w:rsidR="00E66C16" w:rsidRDefault="00E66C16" w:rsidP="00E66C16">
      <w:pPr>
        <w:pStyle w:val="ListParagraph"/>
        <w:numPr>
          <w:ilvl w:val="0"/>
          <w:numId w:val="3"/>
        </w:numPr>
      </w:pPr>
      <w:r>
        <w:t>Fixing the currency exposure / allocation management</w:t>
      </w:r>
    </w:p>
    <w:p w14:paraId="74A65C9C" w14:textId="77777777" w:rsidR="00E66C16" w:rsidRDefault="00E66C16"/>
    <w:p w14:paraId="72751163" w14:textId="4B39506B" w:rsidR="000C217A" w:rsidRDefault="000C217A">
      <w:r>
        <w:t xml:space="preserve">We also have two Global universes: Global proposed by APAC and UK (Global) proposed by UK. </w:t>
      </w:r>
      <w:r w:rsidR="00E853E0" w:rsidRPr="00E853E0">
        <w:rPr>
          <w:b/>
          <w:bCs/>
        </w:rPr>
        <w:t>To be decided:</w:t>
      </w:r>
      <w:r>
        <w:t xml:space="preserve"> </w:t>
      </w:r>
      <w:r w:rsidR="00E853E0">
        <w:t>should we have</w:t>
      </w:r>
      <w:r>
        <w:t xml:space="preserve"> regional Global universes</w:t>
      </w:r>
      <w:r w:rsidR="00E853E0">
        <w:t xml:space="preserve"> (universes offered as Global USD allocation in APAC and UK and other locations)</w:t>
      </w:r>
      <w:r>
        <w:t>?</w:t>
      </w:r>
    </w:p>
    <w:p w14:paraId="282F992F" w14:textId="61E3BD6F" w:rsidR="000C217A" w:rsidRDefault="000C217A">
      <w:r>
        <w:rPr>
          <w:noProof/>
        </w:rPr>
        <w:drawing>
          <wp:inline distT="0" distB="0" distL="0" distR="0" wp14:anchorId="78E74049" wp14:editId="5DCF0AA9">
            <wp:extent cx="5760720" cy="2491740"/>
            <wp:effectExtent l="0" t="0" r="0" b="3810"/>
            <wp:docPr id="111506839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068399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9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87578" w14:textId="77777777" w:rsidR="00461172" w:rsidRDefault="00461172"/>
    <w:p w14:paraId="32459A83" w14:textId="197917FD" w:rsidR="003D222E" w:rsidRDefault="003D222E" w:rsidP="00447525">
      <w:pPr>
        <w:pStyle w:val="Heading2"/>
      </w:pPr>
      <w:r>
        <w:t>Rohit suggest</w:t>
      </w:r>
      <w:r w:rsidR="000C217A">
        <w:t>ions</w:t>
      </w:r>
    </w:p>
    <w:p w14:paraId="094D0753" w14:textId="77777777" w:rsidR="00447525" w:rsidRDefault="003D222E" w:rsidP="003D222E">
      <w:pPr>
        <w:pStyle w:val="ListParagraph"/>
        <w:numPr>
          <w:ilvl w:val="0"/>
          <w:numId w:val="1"/>
        </w:numPr>
      </w:pPr>
      <w:r w:rsidRPr="00B867AB">
        <w:rPr>
          <w:b/>
          <w:bCs/>
        </w:rPr>
        <w:t>Listed Real Assets</w:t>
      </w:r>
      <w:r w:rsidRPr="00B867AB">
        <w:rPr>
          <w:b/>
          <w:bCs/>
        </w:rPr>
        <w:t xml:space="preserve"> </w:t>
      </w:r>
      <w:r w:rsidRPr="00B867AB">
        <w:rPr>
          <w:b/>
          <w:bCs/>
        </w:rPr>
        <w:t>(REITS, Infrastructure, Resources)</w:t>
      </w:r>
      <w:r w:rsidRPr="00B867AB">
        <w:rPr>
          <w:b/>
          <w:bCs/>
        </w:rPr>
        <w:t xml:space="preserve"> </w:t>
      </w:r>
    </w:p>
    <w:p w14:paraId="4900C9F6" w14:textId="5E193D2E" w:rsidR="003D222E" w:rsidRDefault="00B867AB" w:rsidP="00447525">
      <w:pPr>
        <w:pStyle w:val="ListParagraph"/>
        <w:ind w:left="360"/>
      </w:pPr>
      <w:r>
        <w:lastRenderedPageBreak/>
        <w:t xml:space="preserve">Implemented though </w:t>
      </w:r>
      <w:r w:rsidR="003D222E">
        <w:t>REITs Global (</w:t>
      </w:r>
      <w:r w:rsidR="003D222E" w:rsidRPr="003D222E">
        <w:t>EQ_RE</w:t>
      </w:r>
      <w:r w:rsidR="003D222E">
        <w:t xml:space="preserve"> with ticker </w:t>
      </w:r>
      <w:r w:rsidR="003D222E" w:rsidRPr="003D222E">
        <w:t>MXWO0RI Index</w:t>
      </w:r>
      <w:r w:rsidR="003D222E">
        <w:t>) without further additions</w:t>
      </w:r>
    </w:p>
    <w:p w14:paraId="7A1518C2" w14:textId="77777777" w:rsidR="00447525" w:rsidRDefault="003D222E" w:rsidP="003D222E">
      <w:pPr>
        <w:pStyle w:val="ListParagraph"/>
        <w:numPr>
          <w:ilvl w:val="0"/>
          <w:numId w:val="1"/>
        </w:numPr>
      </w:pPr>
      <w:r w:rsidRPr="00B867AB">
        <w:rPr>
          <w:b/>
          <w:bCs/>
        </w:rPr>
        <w:t>Broad Commodities</w:t>
      </w:r>
      <w:r>
        <w:t xml:space="preserve"> </w:t>
      </w:r>
    </w:p>
    <w:p w14:paraId="29BB1229" w14:textId="13CEA824" w:rsidR="003D222E" w:rsidRDefault="00B867AB" w:rsidP="00447525">
      <w:pPr>
        <w:pStyle w:val="ListParagraph"/>
        <w:ind w:left="360"/>
      </w:pPr>
      <w:r>
        <w:t xml:space="preserve">Implemented though </w:t>
      </w:r>
      <w:r>
        <w:t>i</w:t>
      </w:r>
      <w:r w:rsidR="003D222E">
        <w:t xml:space="preserve">nvestable commodities index: </w:t>
      </w:r>
      <w:r w:rsidR="003D222E" w:rsidRPr="003D222E">
        <w:t>BCC3C3TT Index</w:t>
      </w:r>
      <w:r w:rsidR="003D222E">
        <w:t xml:space="preserve"> </w:t>
      </w:r>
      <w:r w:rsidR="00CA0A33">
        <w:t xml:space="preserve">(as suggested by Ivan). </w:t>
      </w:r>
      <w:r w:rsidR="00CA0A33">
        <w:t>L&amp;G Multi-strategy Enhanced Commodities UCITS ETF</w:t>
      </w:r>
      <w:r w:rsidR="00CA0A33">
        <w:t xml:space="preserve"> tracks </w:t>
      </w:r>
      <w:r w:rsidR="00CA0A33" w:rsidRPr="003D222E">
        <w:t>BCC3C3TT Index</w:t>
      </w:r>
      <w:r w:rsidR="00CA0A33">
        <w:t xml:space="preserve"> so a direct allocation is possible. Below are two comparison charts</w:t>
      </w:r>
    </w:p>
    <w:p w14:paraId="251F8B5E" w14:textId="77777777" w:rsidR="00447525" w:rsidRPr="00CA0A33" w:rsidRDefault="00447525" w:rsidP="00447525">
      <w:pPr>
        <w:rPr>
          <w:color w:val="156082" w:themeColor="accent1"/>
        </w:rPr>
      </w:pPr>
      <w:r w:rsidRPr="00CA0A33">
        <w:rPr>
          <w:color w:val="156082" w:themeColor="accent1"/>
        </w:rPr>
        <w:t>Comparison L&amp;G Multi-strategy Enhanced Commodities UCITS ETF (ENCO LN Equity) vs BCC3C3TT Index and vs BCOMTR Index since ETF inception</w:t>
      </w:r>
    </w:p>
    <w:p w14:paraId="46326386" w14:textId="77777777" w:rsidR="00447525" w:rsidRDefault="00447525" w:rsidP="00447525">
      <w:r>
        <w:rPr>
          <w:noProof/>
        </w:rPr>
        <w:drawing>
          <wp:inline distT="0" distB="0" distL="0" distR="0" wp14:anchorId="5A27FECA" wp14:editId="4B6684B1">
            <wp:extent cx="5760720" cy="2937510"/>
            <wp:effectExtent l="0" t="0" r="0" b="0"/>
            <wp:docPr id="873959492" name="Picture 1" descr="A screen 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959492" name="Picture 1" descr="A screen shot of a graph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3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0E55F" w14:textId="77777777" w:rsidR="00447525" w:rsidRPr="00CA0A33" w:rsidRDefault="00447525" w:rsidP="00447525">
      <w:pPr>
        <w:rPr>
          <w:color w:val="156082" w:themeColor="accent1"/>
        </w:rPr>
      </w:pPr>
      <w:r w:rsidRPr="00CA0A33">
        <w:rPr>
          <w:color w:val="156082" w:themeColor="accent1"/>
        </w:rPr>
        <w:t>Long-term performance of BCC3C3TT Index vs BCOMTR Index: 7%p.a. vs 0% p.a.</w:t>
      </w:r>
    </w:p>
    <w:p w14:paraId="070C3140" w14:textId="77777777" w:rsidR="00447525" w:rsidRDefault="00447525" w:rsidP="00447525">
      <w:r>
        <w:rPr>
          <w:noProof/>
        </w:rPr>
        <w:drawing>
          <wp:inline distT="0" distB="0" distL="0" distR="0" wp14:anchorId="36FD5710" wp14:editId="3001D5B5">
            <wp:extent cx="5760720" cy="2832100"/>
            <wp:effectExtent l="0" t="0" r="0" b="6350"/>
            <wp:docPr id="1169852395" name="Picture 1" descr="A screen 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852395" name="Picture 1" descr="A screen shot of a graph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3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A1F84" w14:textId="77777777" w:rsidR="00447525" w:rsidRDefault="00447525" w:rsidP="00447525"/>
    <w:p w14:paraId="587FF634" w14:textId="77777777" w:rsidR="00447525" w:rsidRDefault="00447525" w:rsidP="00447525">
      <w:pPr>
        <w:pStyle w:val="ListParagraph"/>
        <w:ind w:left="360"/>
      </w:pPr>
    </w:p>
    <w:p w14:paraId="60F034C9" w14:textId="77777777" w:rsidR="00447525" w:rsidRDefault="00CA0A33" w:rsidP="003D222E">
      <w:pPr>
        <w:pStyle w:val="ListParagraph"/>
        <w:numPr>
          <w:ilvl w:val="0"/>
          <w:numId w:val="1"/>
        </w:numPr>
      </w:pPr>
      <w:r w:rsidRPr="00B867AB">
        <w:rPr>
          <w:b/>
          <w:bCs/>
        </w:rPr>
        <w:t>Precious metals</w:t>
      </w:r>
    </w:p>
    <w:p w14:paraId="5ADA878E" w14:textId="3264D29A" w:rsidR="00CA0A33" w:rsidRDefault="00B867AB" w:rsidP="00447525">
      <w:pPr>
        <w:pStyle w:val="ListParagraph"/>
        <w:ind w:left="360"/>
      </w:pPr>
      <w:r>
        <w:t>Implemented though</w:t>
      </w:r>
      <w:r>
        <w:t xml:space="preserve"> listing</w:t>
      </w:r>
      <w:r w:rsidR="00CA0A33">
        <w:t xml:space="preserve"> gold as a line item: common ticker </w:t>
      </w:r>
      <w:r w:rsidR="00CA0A33" w:rsidRPr="00CA0A33">
        <w:t xml:space="preserve">XAU </w:t>
      </w:r>
      <w:proofErr w:type="spellStart"/>
      <w:r w:rsidR="00CA0A33" w:rsidRPr="00CA0A33">
        <w:t>Curncy</w:t>
      </w:r>
      <w:proofErr w:type="spellEnd"/>
      <w:r w:rsidR="00CA0A33">
        <w:t xml:space="preserve"> for all SAA universes</w:t>
      </w:r>
    </w:p>
    <w:p w14:paraId="6A24BFF8" w14:textId="551681D9" w:rsidR="00E853E0" w:rsidRDefault="00F53227" w:rsidP="00E853E0">
      <w:pPr>
        <w:pStyle w:val="ListParagraph"/>
        <w:numPr>
          <w:ilvl w:val="0"/>
          <w:numId w:val="1"/>
        </w:numPr>
      </w:pPr>
      <w:r w:rsidRPr="00F53227">
        <w:rPr>
          <w:b/>
          <w:bCs/>
        </w:rPr>
        <w:lastRenderedPageBreak/>
        <w:t xml:space="preserve">Add </w:t>
      </w:r>
      <w:r w:rsidR="00E853E0" w:rsidRPr="00F53227">
        <w:rPr>
          <w:b/>
          <w:bCs/>
        </w:rPr>
        <w:t>"Real Assets bucket"</w:t>
      </w:r>
      <w:r w:rsidRPr="00F53227">
        <w:rPr>
          <w:b/>
          <w:bCs/>
        </w:rPr>
        <w:t xml:space="preserve"> line item to SAA</w:t>
      </w:r>
      <w:r w:rsidR="00E853E0">
        <w:t xml:space="preserve"> to combine </w:t>
      </w:r>
      <w:r w:rsidR="00E853E0" w:rsidRPr="00E853E0">
        <w:t>Listed Real Assets (REITs, Infrastructure, Resources)</w:t>
      </w:r>
    </w:p>
    <w:p w14:paraId="47232FFF" w14:textId="19837B3B" w:rsidR="00333067" w:rsidRPr="00333067" w:rsidRDefault="00333067" w:rsidP="00333067">
      <w:pPr>
        <w:pStyle w:val="ListParagraph"/>
        <w:ind w:left="360"/>
      </w:pPr>
      <w:r w:rsidRPr="00333067">
        <w:t xml:space="preserve">For time being I keep </w:t>
      </w:r>
      <w:r w:rsidRPr="00333067">
        <w:t>REITs</w:t>
      </w:r>
      <w:r>
        <w:t xml:space="preserve"> global line item using </w:t>
      </w:r>
      <w:r w:rsidRPr="00333067">
        <w:t>MXWO0RI Index</w:t>
      </w:r>
    </w:p>
    <w:p w14:paraId="2740C423" w14:textId="48794194" w:rsidR="00E853E0" w:rsidRPr="00E853E0" w:rsidRDefault="00E853E0" w:rsidP="00E853E0">
      <w:pPr>
        <w:pStyle w:val="ListParagraph"/>
        <w:ind w:left="360"/>
        <w:rPr>
          <w:b/>
          <w:bCs/>
        </w:rPr>
      </w:pPr>
      <w:r w:rsidRPr="00E853E0">
        <w:rPr>
          <w:b/>
          <w:bCs/>
        </w:rPr>
        <w:t xml:space="preserve">To be decided: </w:t>
      </w:r>
      <w:r w:rsidRPr="00E853E0">
        <w:t xml:space="preserve">should </w:t>
      </w:r>
      <w:r>
        <w:t>we replace REITs allocation with Real asset bucket which also includes listed Infrastructure and resources</w:t>
      </w:r>
    </w:p>
    <w:p w14:paraId="4931D27D" w14:textId="77777777" w:rsidR="00447525" w:rsidRDefault="00B867AB" w:rsidP="00B867AB">
      <w:pPr>
        <w:pStyle w:val="ListParagraph"/>
        <w:numPr>
          <w:ilvl w:val="0"/>
          <w:numId w:val="1"/>
        </w:numPr>
      </w:pPr>
      <w:r w:rsidRPr="00B867AB">
        <w:rPr>
          <w:b/>
          <w:bCs/>
        </w:rPr>
        <w:t>For HF basket</w:t>
      </w:r>
    </w:p>
    <w:p w14:paraId="676F1C20" w14:textId="6775266B" w:rsidR="003D222E" w:rsidRDefault="00447525" w:rsidP="00447525">
      <w:pPr>
        <w:pStyle w:val="ListParagraph"/>
        <w:ind w:left="360"/>
      </w:pPr>
      <w:r>
        <w:t>T</w:t>
      </w:r>
      <w:r w:rsidR="00B867AB">
        <w:t>hese are suggestions to proxy a basket of internal allocation</w:t>
      </w:r>
      <w:r>
        <w:t xml:space="preserve"> with the following funds:</w:t>
      </w:r>
    </w:p>
    <w:p w14:paraId="49CD2A6D" w14:textId="0CE7B298" w:rsidR="00B867AB" w:rsidRDefault="00B867AB" w:rsidP="00B867AB">
      <w:pPr>
        <w:ind w:left="360"/>
      </w:pPr>
      <w:r w:rsidRPr="00B867AB">
        <w:t>GMSGRMU</w:t>
      </w:r>
      <w:r>
        <w:t xml:space="preserve"> ID Equity: G</w:t>
      </w:r>
      <w:r w:rsidRPr="00B867AB">
        <w:t>raham Macro UCITS Fund</w:t>
      </w:r>
    </w:p>
    <w:p w14:paraId="66DE4BEC" w14:textId="50C0274F" w:rsidR="00B867AB" w:rsidRDefault="00B867AB" w:rsidP="00B867AB">
      <w:pPr>
        <w:ind w:left="360"/>
      </w:pPr>
      <w:r w:rsidRPr="00B867AB">
        <w:t>WINTFUI</w:t>
      </w:r>
      <w:r w:rsidRPr="00B867AB">
        <w:t xml:space="preserve"> </w:t>
      </w:r>
      <w:r w:rsidRPr="00B867AB">
        <w:t xml:space="preserve">ID </w:t>
      </w:r>
      <w:r>
        <w:t>Equity:</w:t>
      </w:r>
      <w:r w:rsidRPr="00B867AB">
        <w:t xml:space="preserve"> Winton Trend Fund UCITS</w:t>
      </w:r>
    </w:p>
    <w:p w14:paraId="38D7B9B5" w14:textId="653C5CAF" w:rsidR="00B867AB" w:rsidRDefault="00B867AB" w:rsidP="00B867AB">
      <w:pPr>
        <w:ind w:left="360"/>
      </w:pPr>
      <w:r w:rsidRPr="00B867AB">
        <w:t>BHMG</w:t>
      </w:r>
      <w:r>
        <w:t xml:space="preserve"> </w:t>
      </w:r>
      <w:r w:rsidRPr="00B867AB">
        <w:t xml:space="preserve">LN </w:t>
      </w:r>
      <w:r>
        <w:t>Equity:</w:t>
      </w:r>
      <w:r w:rsidRPr="00B867AB">
        <w:t xml:space="preserve"> </w:t>
      </w:r>
      <w:r w:rsidRPr="00B867AB">
        <w:t>BH Macro Limited (LSE-listed closed-end fund)</w:t>
      </w:r>
    </w:p>
    <w:p w14:paraId="09E66612" w14:textId="39FFA186" w:rsidR="00B867AB" w:rsidRDefault="00B867AB" w:rsidP="00B867AB">
      <w:pPr>
        <w:ind w:left="360"/>
      </w:pPr>
      <w:r w:rsidRPr="00B867AB">
        <w:t>OMEIUSA</w:t>
      </w:r>
      <w:r>
        <w:t xml:space="preserve"> </w:t>
      </w:r>
      <w:r w:rsidRPr="00B867AB">
        <w:t xml:space="preserve">ID </w:t>
      </w:r>
      <w:r>
        <w:t>Equity:</w:t>
      </w:r>
      <w:r w:rsidRPr="00B867AB">
        <w:t xml:space="preserve"> Jupiter Merian Global Equity Absolute Return Fund</w:t>
      </w:r>
    </w:p>
    <w:p w14:paraId="3B00AA5F" w14:textId="77777777" w:rsidR="00447525" w:rsidRDefault="00447525" w:rsidP="00B867AB">
      <w:pPr>
        <w:ind w:left="360"/>
      </w:pPr>
    </w:p>
    <w:p w14:paraId="15528D51" w14:textId="3BC8653B" w:rsidR="00B867AB" w:rsidRDefault="00B867AB" w:rsidP="00447525">
      <w:pPr>
        <w:pStyle w:val="Heading2"/>
      </w:pPr>
      <w:r>
        <w:t>Ivan suggest</w:t>
      </w:r>
      <w:r w:rsidR="000C217A">
        <w:t>ions</w:t>
      </w:r>
    </w:p>
    <w:p w14:paraId="4E4C0E18" w14:textId="7245B0EE" w:rsidR="00447525" w:rsidRDefault="00B867AB" w:rsidP="00B867AB">
      <w:pPr>
        <w:pStyle w:val="ListParagraph"/>
        <w:numPr>
          <w:ilvl w:val="0"/>
          <w:numId w:val="2"/>
        </w:numPr>
      </w:pPr>
      <w:r w:rsidRPr="00B867AB">
        <w:rPr>
          <w:b/>
          <w:bCs/>
        </w:rPr>
        <w:t>For HF basket</w:t>
      </w:r>
    </w:p>
    <w:p w14:paraId="7361ADA0" w14:textId="30C9F1C0" w:rsidR="00B867AB" w:rsidRDefault="00B867AB" w:rsidP="00447525">
      <w:pPr>
        <w:pStyle w:val="ListParagraph"/>
        <w:ind w:left="360"/>
      </w:pPr>
      <w:r w:rsidRPr="00B867AB">
        <w:t xml:space="preserve">The non-UCITS benchmark, HFRIFWI Index, offers a much closer representation of the broad exposures in our APAC basket. My analysis shows it aligns more closely than the UCITS benchmark. </w:t>
      </w:r>
    </w:p>
    <w:p w14:paraId="6F0F3EA3" w14:textId="76A19005" w:rsidR="00447525" w:rsidRPr="00A32433" w:rsidRDefault="00447525" w:rsidP="00B867AB">
      <w:pPr>
        <w:pStyle w:val="ListParagraph"/>
        <w:numPr>
          <w:ilvl w:val="0"/>
          <w:numId w:val="2"/>
        </w:numPr>
      </w:pPr>
      <w:r w:rsidRPr="00447525">
        <w:rPr>
          <w:b/>
          <w:bCs/>
          <w:lang w:val="en-SG"/>
        </w:rPr>
        <w:t>ILS/CAT Bonds</w:t>
      </w:r>
      <w:r w:rsidRPr="00447525">
        <w:rPr>
          <w:lang w:val="en-SG"/>
        </w:rPr>
        <w:br/>
        <w:t xml:space="preserve">We do not have a license for the SRGLTRR Index, so we are in the process of requesting (not yet finalized) the </w:t>
      </w:r>
      <w:proofErr w:type="spellStart"/>
      <w:r w:rsidRPr="00447525">
        <w:rPr>
          <w:lang w:val="en-SG"/>
        </w:rPr>
        <w:t>Eurekahedge</w:t>
      </w:r>
      <w:proofErr w:type="spellEnd"/>
      <w:r w:rsidRPr="00447525">
        <w:rPr>
          <w:lang w:val="en-SG"/>
        </w:rPr>
        <w:t xml:space="preserve"> ILS Advisers Index </w:t>
      </w:r>
      <w:r w:rsidRPr="00447525">
        <w:rPr>
          <w:lang w:val="en-SG"/>
        </w:rPr>
        <w:t>–</w:t>
      </w:r>
      <w:r w:rsidRPr="00447525">
        <w:rPr>
          <w:lang w:val="en-SG"/>
        </w:rPr>
        <w:t xml:space="preserve"> USD Hedged. This benchmark is broad and tracks well with our ILS/CAT bond exposures. We recommend its use.</w:t>
      </w:r>
    </w:p>
    <w:p w14:paraId="20D0644D" w14:textId="16D0EBF5" w:rsidR="00A32433" w:rsidRDefault="00A32433" w:rsidP="00B867AB">
      <w:pPr>
        <w:pStyle w:val="ListParagraph"/>
        <w:numPr>
          <w:ilvl w:val="0"/>
          <w:numId w:val="2"/>
        </w:numPr>
      </w:pPr>
      <w:r w:rsidRPr="00A32433">
        <w:rPr>
          <w:b/>
          <w:bCs/>
          <w:lang w:val="en-SG"/>
        </w:rPr>
        <w:t>Private Equity and Private Debt:</w:t>
      </w:r>
    </w:p>
    <w:p w14:paraId="5A651254" w14:textId="0FEE8589" w:rsidR="00B867AB" w:rsidRDefault="002E22C5" w:rsidP="00A32433">
      <w:pPr>
        <w:ind w:left="360"/>
      </w:pPr>
      <w:r>
        <w:t>U</w:t>
      </w:r>
      <w:r w:rsidR="00A32433" w:rsidRPr="00A32433">
        <w:t>se the MSCI Burgiss indices for benchmarking</w:t>
      </w:r>
      <w:r w:rsidR="00A32433">
        <w:t>.</w:t>
      </w:r>
    </w:p>
    <w:p w14:paraId="7B9FCB95" w14:textId="15308765" w:rsidR="00333067" w:rsidRDefault="00333067" w:rsidP="00A32433">
      <w:pPr>
        <w:ind w:left="360"/>
      </w:pPr>
      <w:r>
        <w:t xml:space="preserve">I added </w:t>
      </w:r>
      <w:r w:rsidRPr="00333067">
        <w:t>Private Debt</w:t>
      </w:r>
      <w:r>
        <w:t xml:space="preserve"> </w:t>
      </w:r>
      <w:r w:rsidRPr="00333067">
        <w:t>as a line item for Global, EU Adv (Unconstrained)</w:t>
      </w:r>
      <w:r>
        <w:t xml:space="preserve"> and </w:t>
      </w:r>
      <w:r w:rsidRPr="00333067">
        <w:t>APAC</w:t>
      </w:r>
      <w:r>
        <w:t xml:space="preserve"> </w:t>
      </w:r>
      <w:r w:rsidRPr="00333067">
        <w:t>SAA universes using MSCI Burgiss PD Index</w:t>
      </w:r>
      <w:r>
        <w:t>.</w:t>
      </w:r>
    </w:p>
    <w:p w14:paraId="1CC200A4" w14:textId="628504B1" w:rsidR="00A32433" w:rsidRDefault="00A32433" w:rsidP="00333067">
      <w:pPr>
        <w:pStyle w:val="ListParagraph"/>
        <w:numPr>
          <w:ilvl w:val="0"/>
          <w:numId w:val="2"/>
        </w:numPr>
      </w:pPr>
      <w:r w:rsidRPr="00A32433">
        <w:rPr>
          <w:b/>
          <w:bCs/>
          <w:lang w:val="en-SG"/>
        </w:rPr>
        <w:t>Commodities, ex-precious</w:t>
      </w:r>
      <w:r w:rsidRPr="00447525">
        <w:rPr>
          <w:lang w:val="en-SG"/>
        </w:rPr>
        <w:br/>
      </w:r>
      <w:r w:rsidR="002E22C5">
        <w:rPr>
          <w:lang w:val="en-SG"/>
        </w:rPr>
        <w:t>Use</w:t>
      </w:r>
      <w:r w:rsidRPr="00A32433">
        <w:rPr>
          <w:lang w:val="en-SG"/>
        </w:rPr>
        <w:t xml:space="preserve"> the </w:t>
      </w:r>
      <w:r w:rsidRPr="00A32433">
        <w:rPr>
          <w:lang w:val="en-SG"/>
        </w:rPr>
        <w:t>“</w:t>
      </w:r>
      <w:r w:rsidRPr="00A32433">
        <w:rPr>
          <w:lang w:val="en-SG"/>
        </w:rPr>
        <w:t>BCC3C3TT Index,</w:t>
      </w:r>
      <w:r w:rsidRPr="00A32433">
        <w:rPr>
          <w:lang w:val="en-SG"/>
        </w:rPr>
        <w:t>”</w:t>
      </w:r>
      <w:r w:rsidRPr="00A32433">
        <w:rPr>
          <w:lang w:val="en-SG"/>
        </w:rPr>
        <w:t xml:space="preserve"> which is </w:t>
      </w:r>
      <w:proofErr w:type="gramStart"/>
      <w:r w:rsidRPr="00A32433">
        <w:rPr>
          <w:lang w:val="en-SG"/>
        </w:rPr>
        <w:t>similar to</w:t>
      </w:r>
      <w:proofErr w:type="gramEnd"/>
      <w:r w:rsidRPr="00A32433">
        <w:rPr>
          <w:lang w:val="en-SG"/>
        </w:rPr>
        <w:t xml:space="preserve"> the L&amp;G strategy.</w:t>
      </w:r>
      <w:r>
        <w:rPr>
          <w:lang w:val="en-SG"/>
        </w:rPr>
        <w:t xml:space="preserve"> </w:t>
      </w:r>
      <w:r>
        <w:t>I</w:t>
      </w:r>
      <w:r>
        <w:t xml:space="preserve"> made changes to </w:t>
      </w:r>
      <w:r>
        <w:t xml:space="preserve">the </w:t>
      </w:r>
      <w:r>
        <w:t>ind</w:t>
      </w:r>
      <w:r>
        <w:t>ex as explained above</w:t>
      </w:r>
    </w:p>
    <w:p w14:paraId="536A9B31" w14:textId="1B94BCC8" w:rsidR="00A32433" w:rsidRDefault="00A32433" w:rsidP="00A32433">
      <w:pPr>
        <w:pStyle w:val="ListParagraph"/>
        <w:numPr>
          <w:ilvl w:val="0"/>
          <w:numId w:val="2"/>
        </w:numPr>
      </w:pPr>
      <w:r w:rsidRPr="00A32433">
        <w:rPr>
          <w:b/>
          <w:bCs/>
          <w:lang w:val="en-SG"/>
        </w:rPr>
        <w:t>Precious Metals</w:t>
      </w:r>
    </w:p>
    <w:p w14:paraId="4BAFA50C" w14:textId="0C765267" w:rsidR="00A32433" w:rsidRDefault="00A32433" w:rsidP="00A32433">
      <w:pPr>
        <w:ind w:firstLine="360"/>
        <w:rPr>
          <w:lang w:val="en-SG"/>
        </w:rPr>
      </w:pPr>
      <w:r w:rsidRPr="00A32433">
        <w:rPr>
          <w:lang w:val="en-SG"/>
        </w:rPr>
        <w:t>Precious metals, mainly gold, should be part of the SAA</w:t>
      </w:r>
      <w:r>
        <w:rPr>
          <w:lang w:val="en-SG"/>
        </w:rPr>
        <w:t>. I left Gold as explained above</w:t>
      </w:r>
    </w:p>
    <w:p w14:paraId="108BCC0D" w14:textId="77777777" w:rsidR="00A32433" w:rsidRPr="00A32433" w:rsidRDefault="00A32433" w:rsidP="00A32433">
      <w:pPr>
        <w:pStyle w:val="ListParagraph"/>
        <w:numPr>
          <w:ilvl w:val="0"/>
          <w:numId w:val="2"/>
        </w:numPr>
        <w:rPr>
          <w:b/>
          <w:bCs/>
          <w:lang w:val="en-SG"/>
        </w:rPr>
      </w:pPr>
      <w:r w:rsidRPr="00A32433">
        <w:rPr>
          <w:b/>
          <w:bCs/>
          <w:lang w:val="en-SG"/>
        </w:rPr>
        <w:t>Real Estate:</w:t>
      </w:r>
    </w:p>
    <w:p w14:paraId="7FBFA5A5" w14:textId="7E93D745" w:rsidR="00A32433" w:rsidRDefault="00A32433" w:rsidP="002E22C5">
      <w:pPr>
        <w:ind w:left="360"/>
        <w:rPr>
          <w:lang w:val="en-SG"/>
        </w:rPr>
      </w:pPr>
      <w:r w:rsidRPr="00A32433">
        <w:rPr>
          <w:lang w:val="en-SG"/>
        </w:rPr>
        <w:t xml:space="preserve">Real estate should be part of the SAA. Our benchmark represents a broad range of global REITs. </w:t>
      </w:r>
      <w:r w:rsidR="002E22C5">
        <w:rPr>
          <w:lang w:val="en-SG"/>
        </w:rPr>
        <w:t xml:space="preserve">I keep RE separate line item in SAA proxied with </w:t>
      </w:r>
      <w:r w:rsidR="002E22C5" w:rsidRPr="002E22C5">
        <w:rPr>
          <w:lang w:val="en-SG"/>
        </w:rPr>
        <w:t>MXWO0RI Index</w:t>
      </w:r>
    </w:p>
    <w:p w14:paraId="73AA1ED8" w14:textId="1CCE8BB8" w:rsidR="00A32433" w:rsidRDefault="00F53B31" w:rsidP="00F53B31">
      <w:pPr>
        <w:pStyle w:val="ListParagraph"/>
        <w:numPr>
          <w:ilvl w:val="0"/>
          <w:numId w:val="2"/>
        </w:numPr>
      </w:pPr>
      <w:r w:rsidRPr="00F53B31">
        <w:rPr>
          <w:b/>
          <w:bCs/>
          <w:lang w:val="en-SG"/>
        </w:rPr>
        <w:t>Emerging Market Debt</w:t>
      </w:r>
      <w:r w:rsidRPr="00F53B31">
        <w:rPr>
          <w:lang w:val="en-SG"/>
        </w:rPr>
        <w:br/>
        <w:t>The index you use is a JPM Index</w:t>
      </w:r>
      <w:r>
        <w:rPr>
          <w:lang w:val="en-SG"/>
        </w:rPr>
        <w:t xml:space="preserve"> (</w:t>
      </w:r>
      <w:r w:rsidRPr="00F53B31">
        <w:rPr>
          <w:lang w:val="en-SG"/>
        </w:rPr>
        <w:t>JPEIDIVR Index</w:t>
      </w:r>
      <w:r>
        <w:rPr>
          <w:lang w:val="en-SG"/>
        </w:rPr>
        <w:t>)</w:t>
      </w:r>
      <w:r w:rsidRPr="00F53B31">
        <w:rPr>
          <w:lang w:val="en-SG"/>
        </w:rPr>
        <w:t>, which APAC does not have access to. More importantly, it focuses largely on external sovereigns, whereas our approach is more comprehensive, including sovereigns, corporates, and a broader EM universe. This stems from our practice of classifying any EM country under Emerging Markets</w:t>
      </w:r>
      <w:r>
        <w:rPr>
          <w:lang w:val="en-SG"/>
        </w:rPr>
        <w:t xml:space="preserve"> with </w:t>
      </w:r>
      <w:r w:rsidRPr="00F53B31">
        <w:rPr>
          <w:lang w:val="en-SG"/>
        </w:rPr>
        <w:t>EMUSTRUU Index</w:t>
      </w:r>
      <w:r w:rsidR="00333067">
        <w:rPr>
          <w:lang w:val="en-SG"/>
        </w:rPr>
        <w:t>.</w:t>
      </w:r>
    </w:p>
    <w:p w14:paraId="6A2FCEB8" w14:textId="77777777" w:rsidR="00333067" w:rsidRDefault="00F53B31" w:rsidP="00F53B31">
      <w:pPr>
        <w:pStyle w:val="ListParagraph"/>
        <w:ind w:left="360"/>
      </w:pPr>
      <w:r>
        <w:t>Performance-wise, both indices are similar.</w:t>
      </w:r>
    </w:p>
    <w:p w14:paraId="722EC2FA" w14:textId="2F657396" w:rsidR="00F53B31" w:rsidRDefault="00333067" w:rsidP="00F53B31">
      <w:pPr>
        <w:pStyle w:val="ListParagraph"/>
        <w:ind w:left="360"/>
      </w:pPr>
      <w:r w:rsidRPr="00E853E0">
        <w:rPr>
          <w:b/>
          <w:bCs/>
        </w:rPr>
        <w:t xml:space="preserve">To be decided: </w:t>
      </w:r>
      <w:r w:rsidR="00F53B31">
        <w:t xml:space="preserve">I suggest we use </w:t>
      </w:r>
      <w:r w:rsidR="00F53B31" w:rsidRPr="00F53B31">
        <w:rPr>
          <w:lang w:val="en-SG"/>
        </w:rPr>
        <w:t>EMUSTRUU Index</w:t>
      </w:r>
      <w:r w:rsidR="00F53B31">
        <w:rPr>
          <w:lang w:val="en-SG"/>
        </w:rPr>
        <w:t xml:space="preserve"> for </w:t>
      </w:r>
      <w:r>
        <w:rPr>
          <w:lang w:val="en-SG"/>
        </w:rPr>
        <w:t xml:space="preserve">Emerging </w:t>
      </w:r>
      <w:r w:rsidR="00B82D97">
        <w:rPr>
          <w:lang w:val="en-SG"/>
        </w:rPr>
        <w:t>market</w:t>
      </w:r>
      <w:r>
        <w:rPr>
          <w:lang w:val="en-SG"/>
        </w:rPr>
        <w:t xml:space="preserve"> debt.</w:t>
      </w:r>
    </w:p>
    <w:p w14:paraId="266C542A" w14:textId="06FAD3E1" w:rsidR="00F53B31" w:rsidRDefault="00F53B31" w:rsidP="00F53B31">
      <w:pPr>
        <w:ind w:left="360"/>
      </w:pPr>
    </w:p>
    <w:p w14:paraId="186CE314" w14:textId="1C49AC48" w:rsidR="00F53B31" w:rsidRDefault="00F53B31" w:rsidP="00B867AB">
      <w:r>
        <w:rPr>
          <w:noProof/>
        </w:rPr>
        <w:drawing>
          <wp:inline distT="0" distB="0" distL="0" distR="0" wp14:anchorId="51630F96" wp14:editId="1732F57F">
            <wp:extent cx="5760720" cy="2898140"/>
            <wp:effectExtent l="0" t="0" r="0" b="0"/>
            <wp:docPr id="2032760076" name="Picture 1" descr="A screen 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760076" name="Picture 1" descr="A screen shot of a graph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9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ADA66" w14:textId="77777777" w:rsidR="00F53B31" w:rsidRDefault="00F53B31" w:rsidP="00B867AB"/>
    <w:p w14:paraId="7028211A" w14:textId="493BA78C" w:rsidR="00F53B31" w:rsidRDefault="00F53B31" w:rsidP="00B867AB">
      <w:pPr>
        <w:pStyle w:val="ListParagraph"/>
        <w:numPr>
          <w:ilvl w:val="0"/>
          <w:numId w:val="2"/>
        </w:numPr>
      </w:pPr>
      <w:r w:rsidRPr="00F53B31">
        <w:rPr>
          <w:b/>
          <w:bCs/>
          <w:lang w:val="en-SG"/>
        </w:rPr>
        <w:t>Emerging Market Equities:</w:t>
      </w:r>
      <w:r w:rsidRPr="00F53B31">
        <w:rPr>
          <w:lang w:val="en-SG"/>
        </w:rPr>
        <w:br/>
        <w:t>We prefer to separate Asian countries using the EM ex-Asia index. This provides a broader representation of Asian markets compared to combining the MSCI EM and MSCI Pacific Index, as is done in Europe. If the European approach for global CMA</w:t>
      </w:r>
      <w:r w:rsidRPr="00F53B31">
        <w:rPr>
          <w:lang w:val="en-SG"/>
        </w:rPr>
        <w:t>’</w:t>
      </w:r>
      <w:r w:rsidRPr="00F53B31">
        <w:rPr>
          <w:lang w:val="en-SG"/>
        </w:rPr>
        <w:t>s is preferred, please note that this would exclude key markets in Asia such as Korea, India, and others</w:t>
      </w:r>
    </w:p>
    <w:p w14:paraId="403CF69A" w14:textId="554B19D8" w:rsidR="00F53B31" w:rsidRDefault="00F53B31" w:rsidP="00F53B31">
      <w:pPr>
        <w:ind w:left="360"/>
      </w:pPr>
      <w:r>
        <w:t xml:space="preserve">I added </w:t>
      </w:r>
      <w:proofErr w:type="gramStart"/>
      <w:r>
        <w:t>line item</w:t>
      </w:r>
      <w:proofErr w:type="gramEnd"/>
      <w:r>
        <w:t xml:space="preserve"> </w:t>
      </w:r>
      <w:r w:rsidRPr="00F53B31">
        <w:t>EQ_EM_APAC</w:t>
      </w:r>
      <w:r>
        <w:t xml:space="preserve"> with index </w:t>
      </w:r>
      <w:r w:rsidRPr="00F53B31">
        <w:t>M1EFZ Index</w:t>
      </w:r>
      <w:r>
        <w:t xml:space="preserve"> to accommodate APAC. The rest of mandates are implemented using existing EQ_EM with index </w:t>
      </w:r>
      <w:r w:rsidRPr="00F53B31">
        <w:t>MXEF Index</w:t>
      </w:r>
    </w:p>
    <w:p w14:paraId="6CE50957" w14:textId="77777777" w:rsidR="00F53B31" w:rsidRDefault="00F53B31" w:rsidP="00F53B31">
      <w:pPr>
        <w:ind w:left="360"/>
      </w:pPr>
    </w:p>
    <w:p w14:paraId="38B855BF" w14:textId="045CB366" w:rsidR="00B867AB" w:rsidRDefault="00A32433" w:rsidP="00447525">
      <w:pPr>
        <w:pStyle w:val="Heading2"/>
      </w:pPr>
      <w:r>
        <w:t>My</w:t>
      </w:r>
      <w:r w:rsidR="00B867AB">
        <w:t xml:space="preserve"> </w:t>
      </w:r>
      <w:r w:rsidR="000C217A">
        <w:t>proposals</w:t>
      </w:r>
      <w:r w:rsidR="00B867AB">
        <w:t xml:space="preserve"> to </w:t>
      </w:r>
      <w:r w:rsidR="000C217A">
        <w:t>discuss</w:t>
      </w:r>
      <w:r w:rsidR="000C217A">
        <w:t xml:space="preserve"> &amp; </w:t>
      </w:r>
      <w:r w:rsidR="00447525">
        <w:t>implement</w:t>
      </w:r>
    </w:p>
    <w:p w14:paraId="457B19B6" w14:textId="77777777" w:rsidR="00447525" w:rsidRPr="00447525" w:rsidRDefault="00B867AB" w:rsidP="00B867AB">
      <w:pPr>
        <w:pStyle w:val="ListParagraph"/>
        <w:numPr>
          <w:ilvl w:val="0"/>
          <w:numId w:val="2"/>
        </w:numPr>
        <w:rPr>
          <w:b/>
          <w:bCs/>
        </w:rPr>
      </w:pPr>
      <w:r w:rsidRPr="00B867AB">
        <w:rPr>
          <w:b/>
          <w:bCs/>
        </w:rPr>
        <w:t xml:space="preserve">For HF allocation </w:t>
      </w:r>
      <w:r w:rsidR="00447525">
        <w:t>see performance analysis of past 7 years for</w:t>
      </w:r>
      <w:r>
        <w:t xml:space="preserve"> </w:t>
      </w:r>
      <w:r w:rsidRPr="00B867AB">
        <w:t>HFRXGL Index</w:t>
      </w:r>
      <w:r>
        <w:t xml:space="preserve">, </w:t>
      </w:r>
      <w:r w:rsidRPr="00B867AB">
        <w:t>HFRIFWI</w:t>
      </w:r>
      <w:r>
        <w:t>, and Rohit</w:t>
      </w:r>
      <w:r>
        <w:t>’</w:t>
      </w:r>
      <w:r>
        <w:t>s basket</w:t>
      </w:r>
    </w:p>
    <w:p w14:paraId="31E75A6C" w14:textId="2F6102D0" w:rsidR="00447525" w:rsidRDefault="00B867AB" w:rsidP="00447525">
      <w:pPr>
        <w:pStyle w:val="ListParagraph"/>
        <w:ind w:left="360"/>
      </w:pPr>
      <w:r w:rsidRPr="00B867AB">
        <w:t>HFRIFWI</w:t>
      </w:r>
      <w:r>
        <w:t xml:space="preserve"> outperformed </w:t>
      </w:r>
      <w:r w:rsidRPr="00B867AB">
        <w:t>HFRXGL</w:t>
      </w:r>
      <w:r>
        <w:t xml:space="preserve"> by 3</w:t>
      </w:r>
      <w:r w:rsidR="00447525">
        <w:t>.5</w:t>
      </w:r>
      <w:r>
        <w:t>% p.a.</w:t>
      </w:r>
      <w:r w:rsidR="00447525">
        <w:t xml:space="preserve"> and both are correlated to 60/40 portfolio (AOR)</w:t>
      </w:r>
    </w:p>
    <w:p w14:paraId="5262C541" w14:textId="7E32E320" w:rsidR="00447525" w:rsidRDefault="00447525" w:rsidP="00447525">
      <w:pPr>
        <w:pStyle w:val="ListParagraph"/>
        <w:ind w:left="360"/>
      </w:pPr>
      <w:r>
        <w:t>Rohit</w:t>
      </w:r>
      <w:r>
        <w:t>’</w:t>
      </w:r>
      <w:r>
        <w:t>s basket</w:t>
      </w:r>
      <w:r>
        <w:t xml:space="preserve"> performed </w:t>
      </w:r>
      <w:proofErr w:type="gramStart"/>
      <w:r>
        <w:t>really well</w:t>
      </w:r>
      <w:proofErr w:type="gramEnd"/>
      <w:r>
        <w:t xml:space="preserve"> with negative beta and correlation to AOR</w:t>
      </w:r>
    </w:p>
    <w:p w14:paraId="18FA54A5" w14:textId="08163617" w:rsidR="00447525" w:rsidRPr="00447525" w:rsidRDefault="00447525" w:rsidP="00447525">
      <w:pPr>
        <w:pStyle w:val="ListParagraph"/>
        <w:numPr>
          <w:ilvl w:val="0"/>
          <w:numId w:val="2"/>
        </w:numPr>
        <w:rPr>
          <w:b/>
          <w:bCs/>
        </w:rPr>
      </w:pPr>
      <w:r w:rsidRPr="00447525">
        <w:rPr>
          <w:b/>
          <w:bCs/>
        </w:rPr>
        <w:t>Using HF index vs an investable basket</w:t>
      </w:r>
      <w:r>
        <w:rPr>
          <w:b/>
          <w:bCs/>
        </w:rPr>
        <w:t xml:space="preserve"> </w:t>
      </w:r>
      <w:r>
        <w:t xml:space="preserve">may have a big impact on optimal SAA portfolio. Even without looking at return </w:t>
      </w:r>
      <w:proofErr w:type="gramStart"/>
      <w:r>
        <w:t xml:space="preserve">profile, </w:t>
      </w:r>
      <w:r w:rsidRPr="00447525">
        <w:rPr>
          <w:b/>
          <w:bCs/>
        </w:rPr>
        <w:t xml:space="preserve"> </w:t>
      </w:r>
      <w:r>
        <w:t>Rohit</w:t>
      </w:r>
      <w:r>
        <w:t>’</w:t>
      </w:r>
      <w:r>
        <w:t>s</w:t>
      </w:r>
      <w:proofErr w:type="gramEnd"/>
      <w:r>
        <w:t xml:space="preserve"> basket</w:t>
      </w:r>
      <w:r>
        <w:t xml:space="preserve"> of HF would achieve a </w:t>
      </w:r>
      <w:proofErr w:type="gramStart"/>
      <w:r>
        <w:t>significantly  higher</w:t>
      </w:r>
      <w:proofErr w:type="gramEnd"/>
      <w:r>
        <w:t xml:space="preserve"> allocation in a portfolio</w:t>
      </w:r>
    </w:p>
    <w:p w14:paraId="5EB4159A" w14:textId="564C3634" w:rsidR="00447525" w:rsidRPr="00447525" w:rsidRDefault="00E853E0" w:rsidP="00447525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To </w:t>
      </w:r>
      <w:r w:rsidR="00E66C16">
        <w:rPr>
          <w:b/>
          <w:bCs/>
        </w:rPr>
        <w:t>b</w:t>
      </w:r>
      <w:r>
        <w:rPr>
          <w:b/>
          <w:bCs/>
        </w:rPr>
        <w:t>e decided: should</w:t>
      </w:r>
      <w:r w:rsidR="00447525" w:rsidRPr="00447525">
        <w:rPr>
          <w:b/>
          <w:bCs/>
        </w:rPr>
        <w:t xml:space="preserve"> we use different HF assets: </w:t>
      </w:r>
      <w:r w:rsidR="00447525" w:rsidRPr="00447525">
        <w:rPr>
          <w:b/>
          <w:bCs/>
        </w:rPr>
        <w:t>HFRXGL</w:t>
      </w:r>
      <w:r w:rsidR="00447525" w:rsidRPr="00447525">
        <w:rPr>
          <w:b/>
          <w:bCs/>
        </w:rPr>
        <w:t xml:space="preserve"> or </w:t>
      </w:r>
      <w:r w:rsidR="00447525" w:rsidRPr="00447525">
        <w:rPr>
          <w:b/>
          <w:bCs/>
        </w:rPr>
        <w:t>HFRIFWI</w:t>
      </w:r>
      <w:r w:rsidR="00447525" w:rsidRPr="00447525">
        <w:rPr>
          <w:b/>
          <w:bCs/>
        </w:rPr>
        <w:t xml:space="preserve"> HF indices vs regional HF baskets? </w:t>
      </w:r>
    </w:p>
    <w:p w14:paraId="7593B75E" w14:textId="77777777" w:rsidR="00B867AB" w:rsidRPr="00B867AB" w:rsidRDefault="00B867AB" w:rsidP="00B867AB">
      <w:pPr>
        <w:pStyle w:val="ListParagraph"/>
        <w:ind w:left="360"/>
        <w:rPr>
          <w:b/>
          <w:bCs/>
        </w:rPr>
      </w:pPr>
    </w:p>
    <w:p w14:paraId="4D562CE0" w14:textId="30323499" w:rsidR="00B867AB" w:rsidRDefault="00B867AB" w:rsidP="00B867AB">
      <w:pPr>
        <w:rPr>
          <w:color w:val="156082" w:themeColor="accent1"/>
        </w:rPr>
      </w:pPr>
      <w:r w:rsidRPr="00B867AB">
        <w:rPr>
          <w:color w:val="156082" w:themeColor="accent1"/>
        </w:rPr>
        <w:t>Hedge Fund Indices and funds</w:t>
      </w:r>
    </w:p>
    <w:p w14:paraId="7ED90286" w14:textId="33FC9E26" w:rsidR="00447525" w:rsidRPr="00B867AB" w:rsidRDefault="00447525" w:rsidP="00B867AB">
      <w:pPr>
        <w:rPr>
          <w:color w:val="156082" w:themeColor="accent1"/>
        </w:rPr>
      </w:pPr>
      <w:r>
        <w:rPr>
          <w:noProof/>
        </w:rPr>
        <w:lastRenderedPageBreak/>
        <w:drawing>
          <wp:inline distT="0" distB="0" distL="0" distR="0" wp14:anchorId="7D4BDC36" wp14:editId="27F52886">
            <wp:extent cx="5760720" cy="7555865"/>
            <wp:effectExtent l="0" t="0" r="0" b="6985"/>
            <wp:docPr id="1928673214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673214" name="Picture 1" descr="A screenshot of a computer screen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55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D6005" w14:textId="77777777" w:rsidR="00447525" w:rsidRDefault="00447525" w:rsidP="00447525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ILS/CAT Bonds</w:t>
      </w:r>
      <w:r>
        <w:rPr>
          <w:b/>
          <w:bCs/>
        </w:rPr>
        <w:t xml:space="preserve"> </w:t>
      </w:r>
    </w:p>
    <w:p w14:paraId="73AA3BAC" w14:textId="59D3506E" w:rsidR="00447525" w:rsidRPr="00447525" w:rsidRDefault="00447525" w:rsidP="00447525">
      <w:pPr>
        <w:pStyle w:val="ListParagraph"/>
        <w:ind w:left="360"/>
      </w:pPr>
      <w:r w:rsidRPr="00447525">
        <w:t>Currently we have three benchmarks</w:t>
      </w:r>
      <w:r>
        <w:t xml:space="preserve"> for regional allocations:</w:t>
      </w:r>
    </w:p>
    <w:p w14:paraId="0E0E1257" w14:textId="6EC30B1F" w:rsidR="00447525" w:rsidRPr="00447525" w:rsidRDefault="00447525" w:rsidP="00447525">
      <w:pPr>
        <w:pStyle w:val="ListParagraph"/>
        <w:ind w:left="360"/>
      </w:pPr>
      <w:r w:rsidRPr="00447525">
        <w:t>SRGLTRR Index</w:t>
      </w:r>
      <w:r>
        <w:t xml:space="preserve"> - </w:t>
      </w:r>
      <w:r w:rsidRPr="00447525">
        <w:t>Swiss Re GL Cat Bond TR</w:t>
      </w:r>
      <w:r>
        <w:t xml:space="preserve">: </w:t>
      </w:r>
      <w:r w:rsidRPr="00447525">
        <w:t>Global</w:t>
      </w:r>
      <w:r>
        <w:t xml:space="preserve">, </w:t>
      </w:r>
      <w:r w:rsidRPr="00447525">
        <w:t>EU (Classic EX)</w:t>
      </w:r>
      <w:r>
        <w:t xml:space="preserve">, </w:t>
      </w:r>
      <w:r w:rsidRPr="00447525">
        <w:t>EU (Classic AI)</w:t>
      </w:r>
      <w:r>
        <w:t xml:space="preserve">, </w:t>
      </w:r>
      <w:r w:rsidRPr="00447525">
        <w:t>Eu CH (Domestic)</w:t>
      </w:r>
    </w:p>
    <w:p w14:paraId="4CE24F2C" w14:textId="4142CB46" w:rsidR="00447525" w:rsidRPr="00447525" w:rsidRDefault="00447525" w:rsidP="00447525">
      <w:pPr>
        <w:pStyle w:val="ListParagraph"/>
        <w:ind w:left="360"/>
      </w:pPr>
      <w:r w:rsidRPr="00447525">
        <w:t>LGTIPBU LX Equity</w:t>
      </w:r>
      <w:r>
        <w:t xml:space="preserve"> - </w:t>
      </w:r>
      <w:r w:rsidRPr="00447525">
        <w:t>LGT Lux III - ILS Plus Fund</w:t>
      </w:r>
      <w:r>
        <w:t xml:space="preserve">: </w:t>
      </w:r>
      <w:r w:rsidRPr="00447525">
        <w:t>EU Adv (Unconstrained)</w:t>
      </w:r>
    </w:p>
    <w:p w14:paraId="3AC4AAAF" w14:textId="03247DD3" w:rsidR="00447525" w:rsidRDefault="00447525" w:rsidP="00447525">
      <w:pPr>
        <w:pStyle w:val="ListParagraph"/>
        <w:ind w:left="360"/>
      </w:pPr>
      <w:r w:rsidRPr="00447525">
        <w:t>EHFI804 Index</w:t>
      </w:r>
      <w:r>
        <w:t xml:space="preserve"> - </w:t>
      </w:r>
      <w:proofErr w:type="spellStart"/>
      <w:r w:rsidRPr="00447525">
        <w:t>Eurekahedge</w:t>
      </w:r>
      <w:proofErr w:type="spellEnd"/>
      <w:r w:rsidRPr="00447525">
        <w:t xml:space="preserve"> ILS Advisers Index - USD Hedged</w:t>
      </w:r>
      <w:r>
        <w:t>: APAC</w:t>
      </w:r>
    </w:p>
    <w:p w14:paraId="611A705E" w14:textId="73CDCEB3" w:rsidR="00447525" w:rsidRDefault="00E853E0" w:rsidP="00447525">
      <w:pPr>
        <w:pStyle w:val="ListParagraph"/>
        <w:ind w:left="360"/>
        <w:rPr>
          <w:b/>
          <w:bCs/>
        </w:rPr>
      </w:pPr>
      <w:r>
        <w:rPr>
          <w:b/>
          <w:bCs/>
        </w:rPr>
        <w:t>To be decided: should</w:t>
      </w:r>
      <w:r w:rsidR="00447525" w:rsidRPr="00447525">
        <w:rPr>
          <w:b/>
          <w:bCs/>
        </w:rPr>
        <w:t xml:space="preserve"> we align on using one index globally</w:t>
      </w:r>
      <w:r w:rsidR="00447525">
        <w:rPr>
          <w:b/>
          <w:bCs/>
        </w:rPr>
        <w:t xml:space="preserve">? </w:t>
      </w:r>
    </w:p>
    <w:p w14:paraId="285FB762" w14:textId="75774AD2" w:rsidR="00B867AB" w:rsidRDefault="00461172" w:rsidP="00461172">
      <w:pPr>
        <w:pStyle w:val="ListParagraph"/>
        <w:numPr>
          <w:ilvl w:val="0"/>
          <w:numId w:val="2"/>
        </w:numPr>
      </w:pPr>
      <w:r w:rsidRPr="00461172">
        <w:rPr>
          <w:b/>
          <w:bCs/>
        </w:rPr>
        <w:lastRenderedPageBreak/>
        <w:t>EU Adv (Unconstrained)</w:t>
      </w:r>
      <w:r w:rsidR="00447525">
        <w:tab/>
      </w:r>
    </w:p>
    <w:p w14:paraId="55F9A401" w14:textId="0846C2FA" w:rsidR="00461172" w:rsidRDefault="00E853E0" w:rsidP="00461172">
      <w:pPr>
        <w:pStyle w:val="ListParagraph"/>
        <w:ind w:left="360"/>
      </w:pPr>
      <w:r w:rsidRPr="00E853E0">
        <w:rPr>
          <w:b/>
          <w:bCs/>
        </w:rPr>
        <w:t>To be decided:</w:t>
      </w:r>
      <w:r>
        <w:t xml:space="preserve"> </w:t>
      </w:r>
      <w:r w:rsidR="00461172">
        <w:t>Is using</w:t>
      </w:r>
      <w:r w:rsidR="00461172" w:rsidRPr="00461172">
        <w:t xml:space="preserve"> </w:t>
      </w:r>
      <w:r w:rsidR="00461172" w:rsidRPr="00461172">
        <w:t>Private Infrastructure</w:t>
      </w:r>
      <w:r w:rsidR="00461172">
        <w:t xml:space="preserve"> (</w:t>
      </w:r>
      <w:r w:rsidR="00461172" w:rsidRPr="00461172">
        <w:t>PE_INF</w:t>
      </w:r>
      <w:r w:rsidR="00461172">
        <w:t xml:space="preserve">) index with </w:t>
      </w:r>
      <w:r w:rsidR="00461172" w:rsidRPr="00461172">
        <w:t>Cambridge Associates</w:t>
      </w:r>
      <w:r w:rsidR="00461172">
        <w:t xml:space="preserve"> data. Can we remove this line item? This mandate allocates to PE, so we do not need sub-PE asset</w:t>
      </w:r>
    </w:p>
    <w:p w14:paraId="7047361D" w14:textId="4053E793" w:rsidR="00461172" w:rsidRDefault="00461172" w:rsidP="00461172">
      <w:pPr>
        <w:pStyle w:val="ListParagraph"/>
        <w:ind w:left="360"/>
      </w:pPr>
    </w:p>
    <w:sectPr w:rsidR="00461172" w:rsidSect="00CC2EE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37DDF"/>
    <w:multiLevelType w:val="hybridMultilevel"/>
    <w:tmpl w:val="FFF2AE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27FE4"/>
    <w:multiLevelType w:val="hybridMultilevel"/>
    <w:tmpl w:val="96DE58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911D9F"/>
    <w:multiLevelType w:val="hybridMultilevel"/>
    <w:tmpl w:val="425E88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08088257">
    <w:abstractNumId w:val="2"/>
  </w:num>
  <w:num w:numId="2" w16cid:durableId="790589205">
    <w:abstractNumId w:val="1"/>
  </w:num>
  <w:num w:numId="3" w16cid:durableId="234362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6CE"/>
    <w:rsid w:val="000C217A"/>
    <w:rsid w:val="001F4EA1"/>
    <w:rsid w:val="002D7757"/>
    <w:rsid w:val="002E22C5"/>
    <w:rsid w:val="00333067"/>
    <w:rsid w:val="0034630B"/>
    <w:rsid w:val="00353F3C"/>
    <w:rsid w:val="00375351"/>
    <w:rsid w:val="003D222E"/>
    <w:rsid w:val="00412C16"/>
    <w:rsid w:val="00447525"/>
    <w:rsid w:val="00461172"/>
    <w:rsid w:val="00781A58"/>
    <w:rsid w:val="00A32433"/>
    <w:rsid w:val="00B82D97"/>
    <w:rsid w:val="00B867AB"/>
    <w:rsid w:val="00CA0A33"/>
    <w:rsid w:val="00CC2EE4"/>
    <w:rsid w:val="00D806CE"/>
    <w:rsid w:val="00E66C16"/>
    <w:rsid w:val="00E853E0"/>
    <w:rsid w:val="00F450E3"/>
    <w:rsid w:val="00F46D2E"/>
    <w:rsid w:val="00F53227"/>
    <w:rsid w:val="00F53B31"/>
    <w:rsid w:val="00FF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361AA"/>
  <w15:chartTrackingRefBased/>
  <w15:docId w15:val="{A64CFC71-90F0-4DF4-B07C-21FFD539F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06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06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06CE"/>
    <w:pPr>
      <w:keepNext/>
      <w:keepLines/>
      <w:spacing w:before="160" w:after="80"/>
      <w:outlineLvl w:val="2"/>
    </w:pPr>
    <w:rPr>
      <w:rFonts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06CE"/>
    <w:pPr>
      <w:keepNext/>
      <w:keepLines/>
      <w:spacing w:before="80" w:after="40"/>
      <w:outlineLvl w:val="3"/>
    </w:pPr>
    <w:rPr>
      <w:rFonts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06CE"/>
    <w:pPr>
      <w:keepNext/>
      <w:keepLines/>
      <w:spacing w:before="80" w:after="40"/>
      <w:outlineLvl w:val="4"/>
    </w:pPr>
    <w:rPr>
      <w:rFonts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06CE"/>
    <w:pPr>
      <w:keepNext/>
      <w:keepLines/>
      <w:spacing w:before="40" w:after="0"/>
      <w:outlineLvl w:val="5"/>
    </w:pPr>
    <w:rPr>
      <w:rFonts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06CE"/>
    <w:pPr>
      <w:keepNext/>
      <w:keepLines/>
      <w:spacing w:before="40" w:after="0"/>
      <w:outlineLvl w:val="6"/>
    </w:pPr>
    <w:rPr>
      <w:rFonts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06CE"/>
    <w:pPr>
      <w:keepNext/>
      <w:keepLines/>
      <w:spacing w:after="0"/>
      <w:outlineLvl w:val="7"/>
    </w:pPr>
    <w:rPr>
      <w:rFonts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06CE"/>
    <w:pPr>
      <w:keepNext/>
      <w:keepLines/>
      <w:spacing w:after="0"/>
      <w:outlineLvl w:val="8"/>
    </w:pPr>
    <w:rPr>
      <w:rFonts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06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806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06CE"/>
    <w:rPr>
      <w:rFonts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06CE"/>
    <w:rPr>
      <w:rFonts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06CE"/>
    <w:rPr>
      <w:rFonts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06CE"/>
    <w:rPr>
      <w:rFonts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06CE"/>
    <w:rPr>
      <w:rFonts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06CE"/>
    <w:rPr>
      <w:rFonts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06CE"/>
    <w:rPr>
      <w:rFonts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06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06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06CE"/>
    <w:pPr>
      <w:numPr>
        <w:ilvl w:val="1"/>
      </w:numPr>
    </w:pPr>
    <w:rPr>
      <w:rFonts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06CE"/>
    <w:rPr>
      <w:rFonts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06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06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06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06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06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06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06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Sepp</dc:creator>
  <cp:keywords/>
  <dc:description/>
  <cp:lastModifiedBy>Artur Sepp</cp:lastModifiedBy>
  <cp:revision>13</cp:revision>
  <dcterms:created xsi:type="dcterms:W3CDTF">2025-10-11T16:40:00Z</dcterms:created>
  <dcterms:modified xsi:type="dcterms:W3CDTF">2025-10-11T20:11:00Z</dcterms:modified>
</cp:coreProperties>
</file>